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8C9C" w14:textId="77777777" w:rsidR="00BB13F8" w:rsidRPr="00D554E9" w:rsidRDefault="00BB13F8" w:rsidP="00BB13F8">
      <w:pPr>
        <w:spacing w:after="0" w:line="240" w:lineRule="auto"/>
        <w:rPr>
          <w:rFonts w:ascii="Times New Roman" w:eastAsia="Times New Roman" w:hAnsi="Times New Roman" w:cs="Times New Roman"/>
          <w:sz w:val="24"/>
          <w:szCs w:val="24"/>
        </w:rPr>
      </w:pPr>
      <w:r w:rsidRPr="00D554E9">
        <w:rPr>
          <w:rFonts w:ascii="Arno Pro" w:eastAsia="Times New Roman" w:hAnsi="Arno Pro" w:cs="Times New Roman"/>
          <w:b/>
          <w:bCs/>
          <w:smallCaps/>
          <w:noProof/>
          <w:color w:val="000000"/>
          <w:sz w:val="28"/>
          <w:szCs w:val="28"/>
          <w:bdr w:val="none" w:sz="0" w:space="0" w:color="auto" w:frame="1"/>
        </w:rPr>
        <w:drawing>
          <wp:inline distT="0" distB="0" distL="0" distR="0" wp14:anchorId="06A0D191" wp14:editId="62946B1C">
            <wp:extent cx="3148965" cy="125349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8965" cy="1253490"/>
                    </a:xfrm>
                    <a:prstGeom prst="rect">
                      <a:avLst/>
                    </a:prstGeom>
                    <a:noFill/>
                    <a:ln>
                      <a:noFill/>
                    </a:ln>
                  </pic:spPr>
                </pic:pic>
              </a:graphicData>
            </a:graphic>
          </wp:inline>
        </w:drawing>
      </w:r>
    </w:p>
    <w:p w14:paraId="5294245F" w14:textId="58A3F25B" w:rsidR="00BB13F8" w:rsidRPr="00D554E9" w:rsidRDefault="00BB13F8" w:rsidP="00BB13F8">
      <w:pPr>
        <w:spacing w:after="0" w:line="240" w:lineRule="auto"/>
        <w:rPr>
          <w:rFonts w:ascii="Times New Roman" w:eastAsia="Times New Roman" w:hAnsi="Times New Roman" w:cs="Times New Roman"/>
          <w:sz w:val="24"/>
          <w:szCs w:val="24"/>
        </w:rPr>
      </w:pPr>
      <w:r w:rsidRPr="00D554E9">
        <w:rPr>
          <w:rFonts w:ascii="Arno Pro" w:eastAsia="Times New Roman" w:hAnsi="Arno Pro" w:cs="Times New Roman"/>
          <w:b/>
          <w:bCs/>
          <w:color w:val="000000"/>
          <w:sz w:val="24"/>
          <w:szCs w:val="24"/>
          <w:shd w:val="clear" w:color="auto" w:fill="FFFF00"/>
        </w:rPr>
        <w:t xml:space="preserve">FOR IMMEDIATE RELEASE – </w:t>
      </w:r>
      <w:r w:rsidRPr="00BB13F8">
        <w:rPr>
          <w:rFonts w:ascii="Arno Pro" w:eastAsia="Times New Roman" w:hAnsi="Arno Pro" w:cs="Times New Roman"/>
          <w:b/>
          <w:bCs/>
          <w:color w:val="000000"/>
          <w:sz w:val="24"/>
          <w:szCs w:val="24"/>
          <w:highlight w:val="yellow"/>
          <w:shd w:val="clear" w:color="auto" w:fill="FFFF00"/>
        </w:rPr>
        <w:t xml:space="preserve">January </w:t>
      </w:r>
      <w:r w:rsidRPr="00BB13F8">
        <w:rPr>
          <w:rFonts w:ascii="Arno Pro" w:eastAsia="Times New Roman" w:hAnsi="Arno Pro" w:cs="Times New Roman"/>
          <w:b/>
          <w:bCs/>
          <w:color w:val="000000"/>
          <w:sz w:val="24"/>
          <w:szCs w:val="24"/>
          <w:highlight w:val="yellow"/>
          <w:shd w:val="clear" w:color="auto" w:fill="FF0000"/>
        </w:rPr>
        <w:t>19</w:t>
      </w:r>
      <w:r w:rsidRPr="00BB13F8">
        <w:rPr>
          <w:rFonts w:ascii="Arno Pro" w:eastAsia="Times New Roman" w:hAnsi="Arno Pro" w:cs="Times New Roman"/>
          <w:b/>
          <w:bCs/>
          <w:color w:val="000000"/>
          <w:sz w:val="24"/>
          <w:szCs w:val="24"/>
          <w:highlight w:val="yellow"/>
          <w:shd w:val="clear" w:color="auto" w:fill="FFFF00"/>
        </w:rPr>
        <w:t>, 2021</w:t>
      </w:r>
    </w:p>
    <w:p w14:paraId="18443957" w14:textId="77777777" w:rsidR="00BB13F8" w:rsidRPr="00D554E9" w:rsidRDefault="00BB13F8" w:rsidP="00BB13F8">
      <w:pPr>
        <w:spacing w:after="0" w:line="240" w:lineRule="auto"/>
        <w:rPr>
          <w:rFonts w:ascii="Times New Roman" w:eastAsia="Times New Roman" w:hAnsi="Times New Roman" w:cs="Times New Roman"/>
          <w:sz w:val="24"/>
          <w:szCs w:val="24"/>
        </w:rPr>
      </w:pPr>
      <w:r w:rsidRPr="00D554E9">
        <w:rPr>
          <w:rFonts w:ascii="Arno Pro" w:eastAsia="Times New Roman" w:hAnsi="Arno Pro" w:cs="Times New Roman"/>
          <w:color w:val="000000"/>
          <w:sz w:val="24"/>
          <w:szCs w:val="24"/>
        </w:rPr>
        <w:t xml:space="preserve">Contact: Derek Sylvan | (614) 638-8282 | </w:t>
      </w:r>
      <w:hyperlink r:id="rId5" w:history="1">
        <w:r w:rsidRPr="00D554E9">
          <w:rPr>
            <w:rFonts w:ascii="Arno Pro" w:eastAsia="Times New Roman" w:hAnsi="Arno Pro" w:cs="Times New Roman"/>
            <w:color w:val="0000FF"/>
            <w:sz w:val="24"/>
            <w:szCs w:val="24"/>
            <w:u w:val="single"/>
          </w:rPr>
          <w:t>derek.sylvan@nyu.edu</w:t>
        </w:r>
      </w:hyperlink>
    </w:p>
    <w:p w14:paraId="0C587681" w14:textId="24956C12" w:rsidR="00BB13F8" w:rsidRDefault="00BB13F8" w:rsidP="00BB13F8">
      <w:pPr>
        <w:spacing w:after="240" w:line="240" w:lineRule="auto"/>
        <w:rPr>
          <w:rFonts w:ascii="Times New Roman" w:eastAsia="Times New Roman" w:hAnsi="Times New Roman" w:cs="Times New Roman"/>
          <w:sz w:val="24"/>
          <w:szCs w:val="24"/>
        </w:rPr>
      </w:pPr>
    </w:p>
    <w:p w14:paraId="38C6F9AC" w14:textId="77777777" w:rsidR="00BB13F8" w:rsidRPr="003F48E7" w:rsidRDefault="00BB13F8" w:rsidP="00BB13F8">
      <w:pPr>
        <w:spacing w:after="0" w:line="240" w:lineRule="auto"/>
        <w:jc w:val="center"/>
        <w:rPr>
          <w:rFonts w:ascii="Times New Roman" w:eastAsia="Times New Roman" w:hAnsi="Times New Roman" w:cs="Times New Roman"/>
          <w:sz w:val="24"/>
          <w:szCs w:val="24"/>
        </w:rPr>
      </w:pPr>
      <w:r>
        <w:rPr>
          <w:rFonts w:ascii="Arno Pro" w:eastAsia="Times New Roman" w:hAnsi="Arno Pro" w:cs="Times New Roman"/>
          <w:b/>
          <w:bCs/>
          <w:smallCaps/>
          <w:color w:val="000000"/>
          <w:sz w:val="30"/>
          <w:szCs w:val="30"/>
        </w:rPr>
        <w:t xml:space="preserve">New Report Clarifies Legal Standards for Corporate Climate Risk Disclosure Rule </w:t>
      </w:r>
    </w:p>
    <w:p w14:paraId="446507E9" w14:textId="77777777" w:rsidR="00BB13F8" w:rsidRPr="00D554E9" w:rsidRDefault="00BB13F8" w:rsidP="00BB13F8">
      <w:pPr>
        <w:spacing w:after="0" w:line="240" w:lineRule="auto"/>
        <w:rPr>
          <w:rFonts w:ascii="Times New Roman" w:eastAsia="Times New Roman" w:hAnsi="Times New Roman" w:cs="Times New Roman"/>
          <w:sz w:val="24"/>
          <w:szCs w:val="24"/>
        </w:rPr>
      </w:pPr>
    </w:p>
    <w:p w14:paraId="72ED59F9" w14:textId="77777777" w:rsidR="00BB13F8" w:rsidRDefault="00BB13F8" w:rsidP="00BB13F8">
      <w:pPr>
        <w:spacing w:after="0" w:line="240" w:lineRule="auto"/>
        <w:rPr>
          <w:rFonts w:ascii="Arno Pro" w:eastAsia="Times New Roman" w:hAnsi="Arno Pro" w:cs="Times New Roman"/>
          <w:i/>
          <w:iCs/>
          <w:color w:val="000000"/>
          <w:sz w:val="26"/>
          <w:szCs w:val="26"/>
        </w:rPr>
      </w:pPr>
      <w:r>
        <w:rPr>
          <w:rFonts w:ascii="Arno Pro" w:eastAsia="Times New Roman" w:hAnsi="Arno Pro" w:cs="Times New Roman"/>
          <w:i/>
          <w:iCs/>
          <w:color w:val="000000"/>
          <w:sz w:val="26"/>
          <w:szCs w:val="26"/>
        </w:rPr>
        <w:t>As the SEC prepares a mandate for companies to disclose risks from climate change, new analysis highlights how the rule can withstand lawsuits.</w:t>
      </w:r>
    </w:p>
    <w:p w14:paraId="16A1879E" w14:textId="77777777" w:rsidR="00BB13F8" w:rsidRPr="00D554E9" w:rsidRDefault="00BB13F8" w:rsidP="00BB13F8">
      <w:pPr>
        <w:spacing w:after="0" w:line="240" w:lineRule="auto"/>
        <w:rPr>
          <w:rFonts w:ascii="Times New Roman" w:eastAsia="Times New Roman" w:hAnsi="Times New Roman" w:cs="Times New Roman"/>
          <w:sz w:val="24"/>
          <w:szCs w:val="24"/>
        </w:rPr>
      </w:pPr>
    </w:p>
    <w:p w14:paraId="4DDC6A13" w14:textId="77777777" w:rsidR="00BB13F8" w:rsidRPr="0070364E" w:rsidRDefault="00BB13F8" w:rsidP="00BB13F8">
      <w:pPr>
        <w:spacing w:after="0" w:line="240" w:lineRule="auto"/>
        <w:rPr>
          <w:rFonts w:ascii="Arno Pro" w:eastAsia="Times New Roman" w:hAnsi="Arno Pro" w:cs="Times New Roman"/>
          <w:color w:val="000000"/>
          <w:sz w:val="24"/>
          <w:szCs w:val="24"/>
        </w:rPr>
      </w:pPr>
      <w:r>
        <w:rPr>
          <w:rFonts w:ascii="Arno Pro" w:eastAsia="Times New Roman" w:hAnsi="Arno Pro" w:cs="Times New Roman"/>
          <w:color w:val="000000"/>
          <w:sz w:val="24"/>
          <w:szCs w:val="24"/>
        </w:rPr>
        <w:t xml:space="preserve">Climate impacts are already threatening major economic sectors in novel ways and could cost the global economy trillions of dollars annually by 2100. Businesses—and the Americans invested in them—face both physical risks from extreme weather events and baseline temperature changes and transition risks as consumers and governments demand cleaner industry. Yet despite their serious implications, </w:t>
      </w:r>
      <w:r w:rsidRPr="00B43E99">
        <w:rPr>
          <w:rFonts w:ascii="Arno Pro" w:eastAsia="Times New Roman" w:hAnsi="Arno Pro" w:cs="Times New Roman"/>
          <w:b/>
          <w:bCs/>
          <w:color w:val="000000"/>
          <w:sz w:val="24"/>
          <w:szCs w:val="24"/>
        </w:rPr>
        <w:t xml:space="preserve">climate-related financial risks are </w:t>
      </w:r>
      <w:r w:rsidRPr="0070364E">
        <w:rPr>
          <w:rFonts w:ascii="Arno Pro" w:eastAsia="Times New Roman" w:hAnsi="Arno Pro" w:cs="Times New Roman"/>
          <w:b/>
          <w:bCs/>
          <w:color w:val="000000"/>
          <w:sz w:val="24"/>
          <w:szCs w:val="24"/>
        </w:rPr>
        <w:t>under-</w:t>
      </w:r>
      <w:r>
        <w:rPr>
          <w:rFonts w:ascii="Arno Pro" w:eastAsia="Times New Roman" w:hAnsi="Arno Pro" w:cs="Times New Roman"/>
          <w:b/>
          <w:bCs/>
          <w:color w:val="000000"/>
          <w:sz w:val="24"/>
          <w:szCs w:val="24"/>
        </w:rPr>
        <w:t>disclosed by</w:t>
      </w:r>
      <w:r w:rsidRPr="0070364E">
        <w:rPr>
          <w:rFonts w:ascii="Arno Pro" w:eastAsia="Times New Roman" w:hAnsi="Arno Pro" w:cs="Times New Roman"/>
          <w:b/>
          <w:bCs/>
          <w:color w:val="000000"/>
          <w:sz w:val="24"/>
          <w:szCs w:val="24"/>
        </w:rPr>
        <w:t xml:space="preserve"> </w:t>
      </w:r>
      <w:r>
        <w:rPr>
          <w:rFonts w:ascii="Arno Pro" w:eastAsia="Times New Roman" w:hAnsi="Arno Pro" w:cs="Times New Roman"/>
          <w:b/>
          <w:bCs/>
          <w:color w:val="000000"/>
          <w:sz w:val="24"/>
          <w:szCs w:val="24"/>
        </w:rPr>
        <w:t>c</w:t>
      </w:r>
      <w:r w:rsidRPr="0070364E">
        <w:rPr>
          <w:rFonts w:ascii="Arno Pro" w:eastAsia="Times New Roman" w:hAnsi="Arno Pro" w:cs="Times New Roman"/>
          <w:b/>
          <w:bCs/>
          <w:color w:val="000000"/>
          <w:sz w:val="24"/>
          <w:szCs w:val="24"/>
        </w:rPr>
        <w:t>ompanies</w:t>
      </w:r>
      <w:r w:rsidRPr="0070364E">
        <w:rPr>
          <w:rFonts w:ascii="Arno Pro" w:eastAsia="Times New Roman" w:hAnsi="Arno Pro" w:cs="Times New Roman"/>
          <w:color w:val="000000"/>
          <w:sz w:val="24"/>
          <w:szCs w:val="24"/>
        </w:rPr>
        <w:t xml:space="preserve"> </w:t>
      </w:r>
      <w:r>
        <w:rPr>
          <w:rFonts w:ascii="Arno Pro" w:eastAsia="Times New Roman" w:hAnsi="Arno Pro" w:cs="Times New Roman"/>
          <w:color w:val="000000"/>
          <w:sz w:val="24"/>
          <w:szCs w:val="24"/>
        </w:rPr>
        <w:t xml:space="preserve">and are rarely reported in </w:t>
      </w:r>
      <w:r w:rsidRPr="0070364E">
        <w:rPr>
          <w:rFonts w:ascii="Arno Pro" w:eastAsia="Times New Roman" w:hAnsi="Arno Pro" w:cs="Times New Roman"/>
          <w:color w:val="000000"/>
          <w:sz w:val="24"/>
          <w:szCs w:val="24"/>
        </w:rPr>
        <w:t xml:space="preserve">a </w:t>
      </w:r>
      <w:r>
        <w:rPr>
          <w:rFonts w:ascii="Arno Pro" w:eastAsia="Times New Roman" w:hAnsi="Arno Pro" w:cs="Times New Roman"/>
          <w:color w:val="000000"/>
          <w:sz w:val="24"/>
          <w:szCs w:val="24"/>
        </w:rPr>
        <w:t>way that is</w:t>
      </w:r>
      <w:r w:rsidRPr="0070364E">
        <w:rPr>
          <w:rFonts w:ascii="Arno Pro" w:eastAsia="Times New Roman" w:hAnsi="Arno Pro" w:cs="Times New Roman"/>
          <w:color w:val="000000"/>
          <w:sz w:val="24"/>
          <w:szCs w:val="24"/>
        </w:rPr>
        <w:t xml:space="preserve"> useful for investors.</w:t>
      </w:r>
    </w:p>
    <w:p w14:paraId="1BDE4527" w14:textId="77777777" w:rsidR="00BB13F8" w:rsidRDefault="00BB13F8" w:rsidP="00BB13F8">
      <w:pPr>
        <w:spacing w:after="0" w:line="240" w:lineRule="auto"/>
        <w:rPr>
          <w:rFonts w:ascii="Arno Pro" w:eastAsia="Times New Roman" w:hAnsi="Arno Pro" w:cs="Times New Roman"/>
          <w:color w:val="000000"/>
          <w:sz w:val="24"/>
          <w:szCs w:val="24"/>
        </w:rPr>
      </w:pPr>
    </w:p>
    <w:p w14:paraId="390FB260" w14:textId="77777777" w:rsidR="00BB13F8" w:rsidRDefault="00BB13F8" w:rsidP="00BB13F8">
      <w:pPr>
        <w:spacing w:after="0" w:line="240" w:lineRule="auto"/>
        <w:rPr>
          <w:rFonts w:ascii="Arno Pro" w:eastAsia="Times New Roman" w:hAnsi="Arno Pro" w:cs="Times New Roman"/>
          <w:color w:val="000000"/>
          <w:sz w:val="24"/>
          <w:szCs w:val="24"/>
        </w:rPr>
      </w:pPr>
      <w:r>
        <w:rPr>
          <w:rFonts w:ascii="Arno Pro" w:eastAsia="Times New Roman" w:hAnsi="Arno Pro" w:cs="Times New Roman"/>
          <w:color w:val="000000"/>
          <w:sz w:val="24"/>
          <w:szCs w:val="24"/>
        </w:rPr>
        <w:t xml:space="preserve">As the Securities and Exchange Commission (SEC) prepares a new climate risk disclosure rule, </w:t>
      </w:r>
      <w:hyperlink r:id="rId6" w:history="1">
        <w:r>
          <w:rPr>
            <w:rFonts w:ascii="Arno Pro" w:eastAsia="Times New Roman" w:hAnsi="Arno Pro" w:cs="Times New Roman"/>
            <w:color w:val="0000FF"/>
            <w:sz w:val="24"/>
            <w:szCs w:val="24"/>
            <w:u w:val="single"/>
          </w:rPr>
          <w:t xml:space="preserve">a </w:t>
        </w:r>
        <w:r w:rsidRPr="00D554E9">
          <w:rPr>
            <w:rFonts w:ascii="Arno Pro" w:eastAsia="Times New Roman" w:hAnsi="Arno Pro" w:cs="Times New Roman"/>
            <w:color w:val="0000FF"/>
            <w:sz w:val="24"/>
            <w:szCs w:val="24"/>
            <w:u w:val="single"/>
          </w:rPr>
          <w:t>report from the Institute for Policy Integrity at NYU School of Law</w:t>
        </w:r>
      </w:hyperlink>
      <w:r>
        <w:rPr>
          <w:rFonts w:ascii="Arno Pro" w:eastAsia="Times New Roman" w:hAnsi="Arno Pro" w:cs="Times New Roman"/>
          <w:color w:val="000000"/>
          <w:sz w:val="24"/>
          <w:szCs w:val="24"/>
        </w:rPr>
        <w:t xml:space="preserve"> offers recommendations for assessing the policy’s economic impacts. </w:t>
      </w:r>
      <w:r w:rsidRPr="001A410E">
        <w:rPr>
          <w:rFonts w:ascii="Arno Pro" w:eastAsia="Times New Roman" w:hAnsi="Arno Pro" w:cs="Times New Roman"/>
          <w:b/>
          <w:bCs/>
          <w:color w:val="000000"/>
          <w:sz w:val="24"/>
          <w:szCs w:val="24"/>
        </w:rPr>
        <w:t>Defending the rule</w:t>
      </w:r>
      <w:r>
        <w:rPr>
          <w:rFonts w:ascii="Arno Pro" w:eastAsia="Times New Roman" w:hAnsi="Arno Pro" w:cs="Times New Roman"/>
          <w:b/>
          <w:bCs/>
          <w:color w:val="000000"/>
          <w:sz w:val="24"/>
          <w:szCs w:val="24"/>
        </w:rPr>
        <w:t>’s economic analysis</w:t>
      </w:r>
      <w:r w:rsidRPr="001A410E">
        <w:rPr>
          <w:rFonts w:ascii="Arno Pro" w:eastAsia="Times New Roman" w:hAnsi="Arno Pro" w:cs="Times New Roman"/>
          <w:b/>
          <w:bCs/>
          <w:color w:val="000000"/>
          <w:sz w:val="24"/>
          <w:szCs w:val="24"/>
        </w:rPr>
        <w:t xml:space="preserve"> will be crucial</w:t>
      </w:r>
      <w:r>
        <w:rPr>
          <w:rFonts w:ascii="Arno Pro" w:eastAsia="Times New Roman" w:hAnsi="Arno Pro" w:cs="Times New Roman"/>
          <w:b/>
          <w:bCs/>
          <w:color w:val="000000"/>
          <w:sz w:val="24"/>
          <w:szCs w:val="24"/>
        </w:rPr>
        <w:t xml:space="preserve"> in litigation</w:t>
      </w:r>
      <w:r>
        <w:rPr>
          <w:rFonts w:ascii="Arno Pro" w:eastAsia="Times New Roman" w:hAnsi="Arno Pro" w:cs="Times New Roman"/>
          <w:color w:val="000000"/>
          <w:sz w:val="24"/>
          <w:szCs w:val="24"/>
        </w:rPr>
        <w:t xml:space="preserve">, as trade </w:t>
      </w:r>
      <w:r w:rsidRPr="00407B7A">
        <w:rPr>
          <w:rFonts w:ascii="Arno Pro" w:eastAsia="Times New Roman" w:hAnsi="Arno Pro" w:cs="Times New Roman"/>
          <w:color w:val="000000"/>
          <w:sz w:val="24"/>
          <w:szCs w:val="24"/>
        </w:rPr>
        <w:t xml:space="preserve">groups have indicated </w:t>
      </w:r>
      <w:r>
        <w:rPr>
          <w:rFonts w:ascii="Arno Pro" w:eastAsia="Times New Roman" w:hAnsi="Arno Pro" w:cs="Times New Roman"/>
          <w:color w:val="000000"/>
          <w:sz w:val="24"/>
          <w:szCs w:val="24"/>
        </w:rPr>
        <w:t xml:space="preserve">intent </w:t>
      </w:r>
      <w:r w:rsidRPr="00407B7A">
        <w:rPr>
          <w:rFonts w:ascii="Arno Pro" w:eastAsia="Times New Roman" w:hAnsi="Arno Pro" w:cs="Times New Roman"/>
          <w:color w:val="000000"/>
          <w:sz w:val="24"/>
          <w:szCs w:val="24"/>
        </w:rPr>
        <w:t>to challenge</w:t>
      </w:r>
      <w:r>
        <w:rPr>
          <w:rFonts w:ascii="Arno Pro" w:eastAsia="Times New Roman" w:hAnsi="Arno Pro" w:cs="Times New Roman"/>
          <w:color w:val="000000"/>
          <w:sz w:val="24"/>
          <w:szCs w:val="24"/>
        </w:rPr>
        <w:t xml:space="preserve"> </w:t>
      </w:r>
      <w:r w:rsidRPr="00407B7A">
        <w:rPr>
          <w:rFonts w:ascii="Arno Pro" w:eastAsia="Times New Roman" w:hAnsi="Arno Pro" w:cs="Times New Roman"/>
          <w:color w:val="000000"/>
          <w:sz w:val="24"/>
          <w:szCs w:val="24"/>
        </w:rPr>
        <w:t xml:space="preserve">any climate risk disclosure rule </w:t>
      </w:r>
      <w:r>
        <w:rPr>
          <w:rFonts w:ascii="Arno Pro" w:eastAsia="Times New Roman" w:hAnsi="Arno Pro" w:cs="Times New Roman"/>
          <w:color w:val="000000"/>
          <w:sz w:val="24"/>
          <w:szCs w:val="24"/>
        </w:rPr>
        <w:t>by claiming that</w:t>
      </w:r>
      <w:r w:rsidRPr="006C66AD">
        <w:rPr>
          <w:rFonts w:ascii="Arno Pro" w:eastAsia="Times New Roman" w:hAnsi="Arno Pro" w:cs="Times New Roman"/>
          <w:color w:val="000000"/>
          <w:sz w:val="24"/>
          <w:szCs w:val="24"/>
        </w:rPr>
        <w:t xml:space="preserve"> its </w:t>
      </w:r>
      <w:r>
        <w:rPr>
          <w:rFonts w:ascii="Arno Pro" w:eastAsia="Times New Roman" w:hAnsi="Arno Pro" w:cs="Times New Roman"/>
          <w:color w:val="000000"/>
          <w:sz w:val="24"/>
          <w:szCs w:val="24"/>
        </w:rPr>
        <w:t xml:space="preserve">costs exceed its </w:t>
      </w:r>
      <w:r w:rsidRPr="006C66AD">
        <w:rPr>
          <w:rFonts w:ascii="Arno Pro" w:eastAsia="Times New Roman" w:hAnsi="Arno Pro" w:cs="Times New Roman"/>
          <w:color w:val="000000"/>
          <w:sz w:val="24"/>
          <w:szCs w:val="24"/>
        </w:rPr>
        <w:t>benefits</w:t>
      </w:r>
      <w:r w:rsidRPr="00407B7A">
        <w:rPr>
          <w:rFonts w:ascii="Arno Pro" w:eastAsia="Times New Roman" w:hAnsi="Arno Pro" w:cs="Times New Roman"/>
          <w:color w:val="000000"/>
          <w:sz w:val="24"/>
          <w:szCs w:val="24"/>
        </w:rPr>
        <w:t>.</w:t>
      </w:r>
      <w:r>
        <w:rPr>
          <w:rFonts w:ascii="Arno Pro" w:eastAsia="Times New Roman" w:hAnsi="Arno Pro" w:cs="Times New Roman"/>
          <w:color w:val="000000"/>
          <w:sz w:val="24"/>
          <w:szCs w:val="24"/>
        </w:rPr>
        <w:t xml:space="preserve"> </w:t>
      </w:r>
    </w:p>
    <w:p w14:paraId="2A3AD21C" w14:textId="77777777" w:rsidR="00BB13F8" w:rsidRDefault="00BB13F8" w:rsidP="00BB13F8">
      <w:pPr>
        <w:spacing w:after="0" w:line="240" w:lineRule="auto"/>
        <w:rPr>
          <w:rFonts w:ascii="Arno Pro" w:eastAsia="Times New Roman" w:hAnsi="Arno Pro" w:cs="Times New Roman"/>
          <w:color w:val="000000"/>
          <w:sz w:val="24"/>
          <w:szCs w:val="24"/>
        </w:rPr>
      </w:pPr>
    </w:p>
    <w:p w14:paraId="2D9B4FB8" w14:textId="77777777" w:rsidR="00BB13F8" w:rsidRDefault="00BB13F8" w:rsidP="00BB13F8">
      <w:pPr>
        <w:spacing w:after="0" w:line="240" w:lineRule="auto"/>
        <w:rPr>
          <w:rFonts w:ascii="Arno Pro" w:eastAsia="Times New Roman" w:hAnsi="Arno Pro" w:cs="Times New Roman"/>
          <w:color w:val="000000"/>
          <w:sz w:val="24"/>
          <w:szCs w:val="24"/>
        </w:rPr>
      </w:pPr>
      <w:r>
        <w:rPr>
          <w:rFonts w:ascii="Arno Pro" w:eastAsia="Times New Roman" w:hAnsi="Arno Pro" w:cs="Times New Roman"/>
          <w:color w:val="000000"/>
          <w:sz w:val="24"/>
          <w:szCs w:val="24"/>
        </w:rPr>
        <w:t>The report analyzes relevant case law and highlights best practices that the SEC can follow in estimating the costs and benefits of the climate risk disclosure rule. By clarifying relevant legal standards</w:t>
      </w:r>
      <w:r w:rsidRPr="001A410E">
        <w:rPr>
          <w:rFonts w:ascii="Arno Pro" w:eastAsia="Times New Roman" w:hAnsi="Arno Pro" w:cs="Times New Roman"/>
          <w:b/>
          <w:bCs/>
          <w:color w:val="000000"/>
          <w:sz w:val="24"/>
          <w:szCs w:val="24"/>
        </w:rPr>
        <w:t>, the report charts a path for the Com</w:t>
      </w:r>
      <w:r w:rsidRPr="0039416F">
        <w:rPr>
          <w:rFonts w:ascii="Arno Pro" w:eastAsia="Times New Roman" w:hAnsi="Arno Pro" w:cs="Times New Roman"/>
          <w:b/>
          <w:bCs/>
          <w:color w:val="000000"/>
          <w:sz w:val="24"/>
          <w:szCs w:val="24"/>
        </w:rPr>
        <w:t xml:space="preserve">mission </w:t>
      </w:r>
      <w:r>
        <w:rPr>
          <w:rFonts w:ascii="Arno Pro" w:eastAsia="Times New Roman" w:hAnsi="Arno Pro" w:cs="Times New Roman"/>
          <w:b/>
          <w:bCs/>
          <w:color w:val="000000"/>
          <w:sz w:val="24"/>
          <w:szCs w:val="24"/>
        </w:rPr>
        <w:t>to</w:t>
      </w:r>
      <w:r w:rsidRPr="0039416F">
        <w:rPr>
          <w:rFonts w:ascii="Arno Pro" w:eastAsia="Times New Roman" w:hAnsi="Arno Pro" w:cs="Times New Roman"/>
          <w:b/>
          <w:bCs/>
          <w:color w:val="000000"/>
          <w:sz w:val="24"/>
          <w:szCs w:val="24"/>
        </w:rPr>
        <w:t xml:space="preserve"> perform a legally durable </w:t>
      </w:r>
      <w:r>
        <w:rPr>
          <w:rFonts w:ascii="Arno Pro" w:eastAsia="Times New Roman" w:hAnsi="Arno Pro" w:cs="Times New Roman"/>
          <w:b/>
          <w:bCs/>
          <w:color w:val="000000"/>
          <w:sz w:val="24"/>
          <w:szCs w:val="24"/>
        </w:rPr>
        <w:t xml:space="preserve">economic </w:t>
      </w:r>
      <w:r w:rsidRPr="0039416F">
        <w:rPr>
          <w:rFonts w:ascii="Arno Pro" w:eastAsia="Times New Roman" w:hAnsi="Arno Pro" w:cs="Times New Roman"/>
          <w:b/>
          <w:bCs/>
          <w:color w:val="000000"/>
          <w:sz w:val="24"/>
          <w:szCs w:val="24"/>
        </w:rPr>
        <w:t>analysis for a climate risk disclosure rule.</w:t>
      </w:r>
    </w:p>
    <w:p w14:paraId="3A4E0DA0" w14:textId="77777777" w:rsidR="00BB13F8" w:rsidRPr="001A410E" w:rsidRDefault="00BB13F8" w:rsidP="00BB13F8">
      <w:pPr>
        <w:spacing w:after="0" w:line="240" w:lineRule="auto"/>
        <w:rPr>
          <w:rFonts w:ascii="Arno Pro" w:eastAsia="Times New Roman" w:hAnsi="Arno Pro" w:cs="Times New Roman"/>
          <w:color w:val="000000"/>
          <w:sz w:val="24"/>
          <w:szCs w:val="24"/>
        </w:rPr>
      </w:pPr>
    </w:p>
    <w:p w14:paraId="43CDE6EF" w14:textId="77777777" w:rsidR="00BB13F8" w:rsidRDefault="00BB13F8" w:rsidP="00BB13F8">
      <w:pPr>
        <w:spacing w:after="200" w:line="240" w:lineRule="auto"/>
        <w:rPr>
          <w:rFonts w:ascii="Arno Pro" w:eastAsia="Times New Roman" w:hAnsi="Arno Pro" w:cs="Times New Roman"/>
          <w:color w:val="000000"/>
          <w:sz w:val="24"/>
          <w:szCs w:val="24"/>
        </w:rPr>
      </w:pPr>
      <w:r w:rsidRPr="00D554E9">
        <w:rPr>
          <w:rFonts w:ascii="Arno Pro" w:eastAsia="Times New Roman" w:hAnsi="Arno Pro" w:cs="Times New Roman"/>
          <w:color w:val="000000"/>
          <w:sz w:val="24"/>
          <w:szCs w:val="24"/>
        </w:rPr>
        <w:t xml:space="preserve">The full report, </w:t>
      </w:r>
      <w:r w:rsidRPr="00943BF4">
        <w:rPr>
          <w:rFonts w:ascii="Arno Pro" w:eastAsia="Times New Roman" w:hAnsi="Arno Pro" w:cs="Times New Roman"/>
          <w:b/>
          <w:bCs/>
          <w:i/>
          <w:iCs/>
          <w:color w:val="000000"/>
          <w:sz w:val="24"/>
          <w:szCs w:val="24"/>
        </w:rPr>
        <w:t>Assessing the Costs and Benefits of Mandatory Climate Risk Disclosure</w:t>
      </w:r>
      <w:r w:rsidRPr="00943BF4">
        <w:rPr>
          <w:rFonts w:ascii="Arno Pro" w:eastAsia="Times New Roman" w:hAnsi="Arno Pro" w:cs="Times New Roman"/>
          <w:color w:val="000000"/>
          <w:sz w:val="24"/>
          <w:szCs w:val="24"/>
        </w:rPr>
        <w:t>,</w:t>
      </w:r>
      <w:r>
        <w:rPr>
          <w:rFonts w:ascii="Arno Pro" w:eastAsia="Times New Roman" w:hAnsi="Arno Pro" w:cs="Times New Roman"/>
          <w:i/>
          <w:iCs/>
          <w:color w:val="000000"/>
          <w:sz w:val="24"/>
          <w:szCs w:val="24"/>
        </w:rPr>
        <w:t xml:space="preserve"> </w:t>
      </w:r>
      <w:r w:rsidRPr="00D554E9">
        <w:rPr>
          <w:rFonts w:ascii="Arno Pro" w:eastAsia="Times New Roman" w:hAnsi="Arno Pro" w:cs="Times New Roman"/>
          <w:color w:val="000000"/>
          <w:sz w:val="24"/>
          <w:szCs w:val="24"/>
        </w:rPr>
        <w:t>is available</w:t>
      </w:r>
      <w:r>
        <w:rPr>
          <w:rFonts w:ascii="Arno Pro" w:eastAsia="Times New Roman" w:hAnsi="Arno Pro" w:cs="Times New Roman"/>
          <w:color w:val="000000"/>
          <w:sz w:val="24"/>
          <w:szCs w:val="24"/>
        </w:rPr>
        <w:t xml:space="preserve"> </w:t>
      </w:r>
      <w:r w:rsidRPr="00D554E9">
        <w:rPr>
          <w:rFonts w:ascii="Arno Pro" w:eastAsia="Times New Roman" w:hAnsi="Arno Pro" w:cs="Times New Roman"/>
          <w:color w:val="000000"/>
          <w:sz w:val="24"/>
          <w:szCs w:val="24"/>
        </w:rPr>
        <w:t>at:</w:t>
      </w:r>
    </w:p>
    <w:p w14:paraId="5F6D8D69" w14:textId="287D42F3" w:rsidR="00BB13F8" w:rsidRPr="00D554E9" w:rsidRDefault="00BB13F8" w:rsidP="00BB13F8">
      <w:pPr>
        <w:spacing w:after="200" w:line="240" w:lineRule="auto"/>
        <w:rPr>
          <w:rFonts w:ascii="Times New Roman" w:eastAsia="Times New Roman" w:hAnsi="Times New Roman" w:cs="Times New Roman"/>
          <w:sz w:val="24"/>
          <w:szCs w:val="24"/>
        </w:rPr>
      </w:pPr>
      <w:hyperlink r:id="rId7" w:history="1">
        <w:r w:rsidRPr="00C1004D">
          <w:rPr>
            <w:rStyle w:val="Hyperlink"/>
            <w:rFonts w:ascii="Arno Pro" w:eastAsia="Times New Roman" w:hAnsi="Arno Pro" w:cs="Times New Roman"/>
            <w:sz w:val="24"/>
            <w:szCs w:val="24"/>
          </w:rPr>
          <w:t>https://policyintegrity.org/documents/CBA_for_Mandatory_Climate_Risk_Disclosure_Report.pdf</w:t>
        </w:r>
      </w:hyperlink>
      <w:r>
        <w:rPr>
          <w:rFonts w:ascii="Arno Pro" w:eastAsia="Times New Roman" w:hAnsi="Arno Pro" w:cs="Times New Roman"/>
          <w:color w:val="0000FF"/>
          <w:sz w:val="24"/>
          <w:szCs w:val="24"/>
        </w:rPr>
        <w:t xml:space="preserve"> </w:t>
      </w:r>
    </w:p>
    <w:p w14:paraId="08D6F0A1" w14:textId="77777777" w:rsidR="00BB13F8" w:rsidRPr="00D554E9" w:rsidRDefault="00BB13F8" w:rsidP="00BB13F8">
      <w:pPr>
        <w:spacing w:after="200" w:line="240" w:lineRule="auto"/>
        <w:rPr>
          <w:rFonts w:ascii="Times New Roman" w:eastAsia="Times New Roman" w:hAnsi="Times New Roman" w:cs="Times New Roman"/>
          <w:sz w:val="24"/>
          <w:szCs w:val="24"/>
        </w:rPr>
      </w:pPr>
      <w:r w:rsidRPr="00D554E9">
        <w:rPr>
          <w:rFonts w:ascii="Arno Pro" w:eastAsia="Times New Roman" w:hAnsi="Arno Pro" w:cs="Times New Roman"/>
          <w:color w:val="000000"/>
          <w:sz w:val="24"/>
          <w:szCs w:val="24"/>
        </w:rPr>
        <w:t>The authors are available for interviews on these issues.  </w:t>
      </w:r>
    </w:p>
    <w:p w14:paraId="38DA1127" w14:textId="77777777" w:rsidR="00BB13F8" w:rsidRPr="00D554E9" w:rsidRDefault="00BB13F8" w:rsidP="00BB13F8">
      <w:pPr>
        <w:spacing w:after="200" w:line="240" w:lineRule="auto"/>
        <w:jc w:val="center"/>
        <w:rPr>
          <w:rFonts w:ascii="Times New Roman" w:eastAsia="Times New Roman" w:hAnsi="Times New Roman" w:cs="Times New Roman"/>
          <w:sz w:val="24"/>
          <w:szCs w:val="24"/>
        </w:rPr>
      </w:pPr>
      <w:r w:rsidRPr="00D554E9">
        <w:rPr>
          <w:rFonts w:ascii="Arno Pro" w:eastAsia="Times New Roman" w:hAnsi="Arno Pro" w:cs="Times New Roman"/>
          <w:color w:val="000000"/>
          <w:sz w:val="24"/>
          <w:szCs w:val="24"/>
        </w:rPr>
        <w:t>###</w:t>
      </w:r>
    </w:p>
    <w:p w14:paraId="20D0D5A5" w14:textId="77777777" w:rsidR="00BB13F8" w:rsidRDefault="00BB13F8" w:rsidP="00BB13F8">
      <w:pPr>
        <w:spacing w:after="0" w:line="240" w:lineRule="auto"/>
        <w:jc w:val="both"/>
      </w:pPr>
      <w:hyperlink r:id="rId8" w:history="1">
        <w:r w:rsidRPr="00D554E9">
          <w:rPr>
            <w:rFonts w:ascii="Arno Pro" w:eastAsia="Times New Roman" w:hAnsi="Arno Pro" w:cs="Times New Roman"/>
            <w:b/>
            <w:bCs/>
            <w:i/>
            <w:iCs/>
            <w:color w:val="0000FF"/>
            <w:sz w:val="24"/>
            <w:szCs w:val="24"/>
            <w:u w:val="single"/>
          </w:rPr>
          <w:t>The Institute for Policy Integrity</w:t>
        </w:r>
      </w:hyperlink>
      <w:r w:rsidRPr="00D554E9">
        <w:rPr>
          <w:rFonts w:ascii="Arno Pro" w:eastAsia="Times New Roman" w:hAnsi="Arno Pro" w:cs="Times New Roman"/>
          <w:i/>
          <w:iCs/>
          <w:color w:val="000000"/>
          <w:sz w:val="24"/>
          <w:szCs w:val="24"/>
        </w:rPr>
        <w:t xml:space="preserve"> at New York University School of Law is a non-partisan think tank dedicated to improving the quality of government </w:t>
      </w:r>
      <w:proofErr w:type="spellStart"/>
      <w:r w:rsidRPr="00D554E9">
        <w:rPr>
          <w:rFonts w:ascii="Arno Pro" w:eastAsia="Times New Roman" w:hAnsi="Arno Pro" w:cs="Times New Roman"/>
          <w:i/>
          <w:iCs/>
          <w:color w:val="000000"/>
          <w:sz w:val="24"/>
          <w:szCs w:val="24"/>
        </w:rPr>
        <w:t>decisionmaking</w:t>
      </w:r>
      <w:proofErr w:type="spellEnd"/>
      <w:r w:rsidRPr="00D554E9">
        <w:rPr>
          <w:rFonts w:ascii="Arno Pro" w:eastAsia="Times New Roman" w:hAnsi="Arno Pro" w:cs="Times New Roman"/>
          <w:i/>
          <w:iCs/>
          <w:color w:val="000000"/>
          <w:sz w:val="24"/>
          <w:szCs w:val="24"/>
        </w:rPr>
        <w:t xml:space="preserve">. The institute produces original scholarly research in the fields of economics, law, and regulatory </w:t>
      </w:r>
      <w:proofErr w:type="gramStart"/>
      <w:r w:rsidRPr="00D554E9">
        <w:rPr>
          <w:rFonts w:ascii="Arno Pro" w:eastAsia="Times New Roman" w:hAnsi="Arno Pro" w:cs="Times New Roman"/>
          <w:i/>
          <w:iCs/>
          <w:color w:val="000000"/>
          <w:sz w:val="24"/>
          <w:szCs w:val="24"/>
        </w:rPr>
        <w:t>policy;</w:t>
      </w:r>
      <w:proofErr w:type="gramEnd"/>
      <w:r w:rsidRPr="00D554E9">
        <w:rPr>
          <w:rFonts w:ascii="Arno Pro" w:eastAsia="Times New Roman" w:hAnsi="Arno Pro" w:cs="Times New Roman"/>
          <w:i/>
          <w:iCs/>
          <w:color w:val="000000"/>
          <w:sz w:val="24"/>
          <w:szCs w:val="24"/>
        </w:rPr>
        <w:t xml:space="preserve"> and advocates for reform before courts, legislatures, and executive agencies. </w:t>
      </w:r>
      <w:r>
        <w:t xml:space="preserve"> </w:t>
      </w:r>
    </w:p>
    <w:p w14:paraId="36C9D174" w14:textId="77777777" w:rsidR="00AA443A" w:rsidRDefault="00AA443A"/>
    <w:sectPr w:rsidR="00AA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F8"/>
    <w:rsid w:val="00AA443A"/>
    <w:rsid w:val="00BB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3605"/>
  <w15:chartTrackingRefBased/>
  <w15:docId w15:val="{1C13D494-76E7-444A-9C09-20CEDD37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3F8"/>
    <w:rPr>
      <w:color w:val="0563C1" w:themeColor="hyperlink"/>
      <w:u w:val="single"/>
    </w:rPr>
  </w:style>
  <w:style w:type="character" w:styleId="UnresolvedMention">
    <w:name w:val="Unresolved Mention"/>
    <w:basedOn w:val="DefaultParagraphFont"/>
    <w:uiPriority w:val="99"/>
    <w:semiHidden/>
    <w:unhideWhenUsed/>
    <w:rsid w:val="00BB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ntegrity.org/" TargetMode="External"/><Relationship Id="rId3" Type="http://schemas.openxmlformats.org/officeDocument/2006/relationships/webSettings" Target="webSettings.xml"/><Relationship Id="rId7" Type="http://schemas.openxmlformats.org/officeDocument/2006/relationships/hyperlink" Target="https://policyintegrity.org/documents/CBA_for_Mandatory_Climate_Risk_Disclosure_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integrity.org/documents/CBA_for_Mandatory_Climate_Risk_Disclosure_Report.pdf" TargetMode="External"/><Relationship Id="rId5" Type="http://schemas.openxmlformats.org/officeDocument/2006/relationships/hyperlink" Target="mailto:derek.sylvan@nyu.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Kasradze</dc:creator>
  <cp:keywords/>
  <dc:description/>
  <cp:lastModifiedBy>Anna Kasradze</cp:lastModifiedBy>
  <cp:revision>1</cp:revision>
  <dcterms:created xsi:type="dcterms:W3CDTF">2022-01-19T19:31:00Z</dcterms:created>
  <dcterms:modified xsi:type="dcterms:W3CDTF">2022-01-19T19:33:00Z</dcterms:modified>
</cp:coreProperties>
</file>